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1F4EBE" w:rsidRPr="000E0709" w14:paraId="6E32B07A" w14:textId="77777777" w:rsidTr="004C66EB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B49FE" w14:textId="77777777" w:rsidR="001F4EBE" w:rsidRPr="000E0709" w:rsidRDefault="001F4EBE" w:rsidP="004C66E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Proiectarea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unui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centru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Startup City Cahul cu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destinatie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educationala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si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IT pe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teren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cu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nr.cadastral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1701115.051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situat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in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or.Cahul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str.Piata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Independentii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>, 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BA25DCF" w14:textId="77777777" w:rsidR="001F4EBE" w:rsidRPr="000E0709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Formular Nr.7</w:t>
            </w:r>
          </w:p>
          <w:p w14:paraId="6EF57B14" w14:textId="77777777" w:rsidR="001F4EBE" w:rsidRPr="000E0709" w:rsidRDefault="001F4EBE" w:rsidP="004C66EB">
            <w:pPr>
              <w:tabs>
                <w:tab w:val="left" w:pos="4786"/>
                <w:tab w:val="left" w:pos="10031"/>
              </w:tabs>
              <w:jc w:val="right"/>
              <w:rPr>
                <w:sz w:val="16"/>
                <w:szCs w:val="16"/>
                <w:lang w:val="en-US"/>
              </w:rPr>
            </w:pPr>
            <w:proofErr w:type="spellStart"/>
            <w:r w:rsidRPr="000E0709">
              <w:rPr>
                <w:sz w:val="16"/>
                <w:szCs w:val="16"/>
                <w:lang w:val="en-US"/>
              </w:rPr>
              <w:t>WinСmeta</w:t>
            </w:r>
            <w:proofErr w:type="spellEnd"/>
          </w:p>
          <w:p w14:paraId="5A7FA6E6" w14:textId="77777777" w:rsidR="001F4EBE" w:rsidRPr="000E0709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F4EBE" w:rsidRPr="000E0709" w14:paraId="15ED6E8C" w14:textId="77777777" w:rsidTr="004C66E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29A919E1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denumirea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obiectivului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7529365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50B6B711" w14:textId="77777777" w:rsidR="001F4EBE" w:rsidRPr="000E0709" w:rsidRDefault="001F4EBE" w:rsidP="001F4EBE">
      <w:pPr>
        <w:rPr>
          <w:sz w:val="22"/>
          <w:szCs w:val="22"/>
          <w:lang w:val="en-US"/>
        </w:rPr>
      </w:pPr>
    </w:p>
    <w:p w14:paraId="0C99E896" w14:textId="77777777" w:rsidR="001F4EBE" w:rsidRPr="000E0709" w:rsidRDefault="001F4EBE" w:rsidP="001F4EBE">
      <w:pPr>
        <w:rPr>
          <w:sz w:val="22"/>
          <w:szCs w:val="22"/>
          <w:lang w:val="en-US"/>
        </w:rPr>
      </w:pPr>
    </w:p>
    <w:p w14:paraId="077C7B11" w14:textId="77777777" w:rsidR="001F4EBE" w:rsidRPr="000E0709" w:rsidRDefault="001F4EBE" w:rsidP="001F4EBE">
      <w:pPr>
        <w:jc w:val="center"/>
        <w:rPr>
          <w:sz w:val="24"/>
          <w:szCs w:val="24"/>
          <w:lang w:val="en-US"/>
        </w:rPr>
      </w:pPr>
      <w:proofErr w:type="gramStart"/>
      <w:r w:rsidRPr="000E0709">
        <w:rPr>
          <w:b/>
          <w:bCs/>
          <w:sz w:val="40"/>
          <w:szCs w:val="40"/>
          <w:lang w:val="en-US"/>
        </w:rPr>
        <w:t>DEVIZ  LOCAL</w:t>
      </w:r>
      <w:proofErr w:type="gramEnd"/>
      <w:r w:rsidRPr="000E0709">
        <w:rPr>
          <w:b/>
          <w:bCs/>
          <w:sz w:val="40"/>
          <w:szCs w:val="40"/>
          <w:lang w:val="en-US"/>
        </w:rPr>
        <w:t xml:space="preserve"> № </w:t>
      </w:r>
    </w:p>
    <w:p w14:paraId="4D89F3F9" w14:textId="26A00BEC" w:rsidR="001F4EBE" w:rsidRPr="000E0709" w:rsidRDefault="00EA2966" w:rsidP="001F4EBE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  <w:lang w:val="en-US"/>
        </w:rPr>
        <w:t>Retele</w:t>
      </w:r>
      <w:proofErr w:type="spellEnd"/>
      <w:r>
        <w:rPr>
          <w:b/>
          <w:bCs/>
          <w:sz w:val="28"/>
          <w:szCs w:val="28"/>
          <w:lang w:val="en-US"/>
        </w:rPr>
        <w:t xml:space="preserve">  </w:t>
      </w:r>
      <w:proofErr w:type="spellStart"/>
      <w:r>
        <w:rPr>
          <w:b/>
          <w:bCs/>
          <w:sz w:val="28"/>
          <w:szCs w:val="28"/>
          <w:lang w:val="en-US"/>
        </w:rPr>
        <w:t>interioare</w:t>
      </w:r>
      <w:proofErr w:type="spellEnd"/>
      <w:proofErr w:type="gramEnd"/>
      <w:r w:rsidR="001F4EBE" w:rsidRPr="000E0709">
        <w:rPr>
          <w:b/>
          <w:bCs/>
          <w:sz w:val="28"/>
          <w:szCs w:val="28"/>
          <w:lang w:val="en-US"/>
        </w:rPr>
        <w:t xml:space="preserve"> de  </w:t>
      </w:r>
      <w:proofErr w:type="spellStart"/>
      <w:r w:rsidR="001F4EBE" w:rsidRPr="000E0709">
        <w:rPr>
          <w:b/>
          <w:bCs/>
          <w:sz w:val="28"/>
          <w:szCs w:val="28"/>
          <w:lang w:val="en-US"/>
        </w:rPr>
        <w:t>apa</w:t>
      </w:r>
      <w:proofErr w:type="spellEnd"/>
      <w:r w:rsidR="001F4EBE" w:rsidRPr="000E0709">
        <w:rPr>
          <w:b/>
          <w:bCs/>
          <w:sz w:val="28"/>
          <w:szCs w:val="28"/>
          <w:lang w:val="en-US"/>
        </w:rPr>
        <w:t xml:space="preserve">  </w:t>
      </w:r>
      <w:proofErr w:type="spellStart"/>
      <w:r w:rsidR="001F4EBE" w:rsidRPr="000E0709">
        <w:rPr>
          <w:b/>
          <w:bCs/>
          <w:sz w:val="28"/>
          <w:szCs w:val="28"/>
          <w:lang w:val="en-US"/>
        </w:rPr>
        <w:t>si</w:t>
      </w:r>
      <w:proofErr w:type="spellEnd"/>
      <w:r w:rsidR="001F4EBE" w:rsidRPr="000E0709">
        <w:rPr>
          <w:b/>
          <w:bCs/>
          <w:sz w:val="28"/>
          <w:szCs w:val="28"/>
          <w:lang w:val="en-US"/>
        </w:rPr>
        <w:t xml:space="preserve">  </w:t>
      </w:r>
      <w:proofErr w:type="spellStart"/>
      <w:r w:rsidR="001F4EBE" w:rsidRPr="000E0709">
        <w:rPr>
          <w:b/>
          <w:bCs/>
          <w:sz w:val="28"/>
          <w:szCs w:val="28"/>
          <w:lang w:val="en-US"/>
        </w:rPr>
        <w:t>canalizare</w:t>
      </w:r>
      <w:proofErr w:type="spellEnd"/>
    </w:p>
    <w:p w14:paraId="40616528" w14:textId="77777777" w:rsidR="001F4EBE" w:rsidRPr="000E0709" w:rsidRDefault="001F4EBE" w:rsidP="001F4EBE">
      <w:pPr>
        <w:jc w:val="center"/>
        <w:rPr>
          <w:b/>
          <w:bCs/>
          <w:sz w:val="28"/>
          <w:szCs w:val="28"/>
          <w:lang w:val="en-US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1F4EBE" w:rsidRPr="00CA5B3E" w14:paraId="0E209B43" w14:textId="77777777" w:rsidTr="004C66EB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372973B" w14:textId="53FA1D25" w:rsidR="001F4EBE" w:rsidRPr="000E0709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13F11150" w14:textId="64F61ED2" w:rsidR="001F4EBE" w:rsidRPr="000E0709" w:rsidRDefault="001F4EBE" w:rsidP="001F4EBE">
      <w:pPr>
        <w:rPr>
          <w:sz w:val="24"/>
          <w:szCs w:val="24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1F4EBE" w:rsidRPr="00CA5B3E" w14:paraId="0CCCCBEE" w14:textId="77777777" w:rsidTr="004C66EB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231F7D7" w14:textId="77777777" w:rsidR="001F4EBE" w:rsidRPr="000E0709" w:rsidRDefault="001F4EBE" w:rsidP="004C66EB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№</w:t>
            </w:r>
          </w:p>
          <w:p w14:paraId="71FDBB69" w14:textId="77777777" w:rsidR="001F4EBE" w:rsidRPr="000E0709" w:rsidRDefault="001F4EBE" w:rsidP="004C66EB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E0B8FD9" w14:textId="77777777" w:rsidR="001F4EBE" w:rsidRPr="000E0709" w:rsidRDefault="001F4EBE" w:rsidP="004C66EB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Simbol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norme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 xml:space="preserve">şi Cod 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C9A5678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17F3FCE2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63921ED" w14:textId="77777777" w:rsidR="001F4EBE" w:rsidRPr="000E0709" w:rsidRDefault="001F4EBE" w:rsidP="004C66EB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58D740EF" w14:textId="77777777" w:rsidR="001F4EBE" w:rsidRPr="000E0709" w:rsidRDefault="001F4EBE" w:rsidP="004C66E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4E307BC" w14:textId="77777777" w:rsidR="001F4EBE" w:rsidRPr="000E0709" w:rsidRDefault="001F4EBE" w:rsidP="004C66E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4AB699C" w14:textId="46B3D932" w:rsidR="001F4EBE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Valoarea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deviz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, </w:t>
            </w:r>
            <w:r w:rsidR="0025666E">
              <w:rPr>
                <w:sz w:val="22"/>
                <w:szCs w:val="22"/>
                <w:lang w:val="en-US"/>
              </w:rPr>
              <w:t>EUR</w:t>
            </w:r>
          </w:p>
          <w:p w14:paraId="24AC9B41" w14:textId="1AAB09E7" w:rsidR="00CA5B3E" w:rsidRPr="00CA5B3E" w:rsidRDefault="00CA5B3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CA5B3E">
              <w:rPr>
                <w:sz w:val="22"/>
                <w:szCs w:val="22"/>
                <w:lang w:val="en-US"/>
              </w:rPr>
              <w:t>(TVA 0)</w:t>
            </w:r>
          </w:p>
        </w:tc>
      </w:tr>
      <w:tr w:rsidR="001F4EBE" w:rsidRPr="0050752B" w14:paraId="3890EAF9" w14:textId="77777777" w:rsidTr="004C66EB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7B82F98" w14:textId="77777777" w:rsidR="001F4EBE" w:rsidRPr="000E0709" w:rsidRDefault="001F4EBE" w:rsidP="004C66EB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006B4A8" w14:textId="77777777" w:rsidR="001F4EBE" w:rsidRPr="000E0709" w:rsidRDefault="001F4EBE" w:rsidP="004C66EB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C4D7415" w14:textId="77777777" w:rsidR="001F4EBE" w:rsidRPr="000E0709" w:rsidRDefault="001F4EBE" w:rsidP="004C66EB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6B4EC7" w14:textId="77777777" w:rsidR="001F4EBE" w:rsidRPr="000E0709" w:rsidRDefault="001F4EBE" w:rsidP="004C66EB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B9F998" w14:textId="77777777" w:rsidR="001F4EBE" w:rsidRPr="000E0709" w:rsidRDefault="001F4EBE" w:rsidP="004C66EB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EA8F2C4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Pe unitate de măsură</w:t>
            </w:r>
          </w:p>
          <w:p w14:paraId="12762C09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————</w:t>
            </w:r>
          </w:p>
          <w:p w14:paraId="5A841F26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19ABD265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FB31B25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  <w:p w14:paraId="45254BF5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—————</w:t>
            </w:r>
          </w:p>
          <w:p w14:paraId="42DFD709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204956BA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2A931E49" w14:textId="77777777" w:rsidR="001F4EBE" w:rsidRPr="000E0709" w:rsidRDefault="001F4EBE" w:rsidP="001F4EBE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1F4EBE" w:rsidRPr="000E0709" w14:paraId="3089E407" w14:textId="77777777" w:rsidTr="004C66EB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8FDA977" w14:textId="77777777" w:rsidR="001F4EBE" w:rsidRPr="000E0709" w:rsidRDefault="001F4EBE" w:rsidP="004C66EB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65B16FD" w14:textId="77777777" w:rsidR="001F4EBE" w:rsidRPr="000E0709" w:rsidRDefault="001F4EBE" w:rsidP="004C66EB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F8DE32B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150BABF" w14:textId="77777777" w:rsidR="001F4EBE" w:rsidRPr="000E0709" w:rsidRDefault="001F4EBE" w:rsidP="004C66E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118E7DC" w14:textId="77777777" w:rsidR="001F4EBE" w:rsidRPr="000E0709" w:rsidRDefault="001F4EBE" w:rsidP="004C66E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1383BEC9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403AF305" w14:textId="77777777" w:rsidR="001F4EBE" w:rsidRPr="000E0709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7</w:t>
            </w:r>
          </w:p>
        </w:tc>
      </w:tr>
      <w:tr w:rsidR="001F4EBE" w:rsidRPr="00B40365" w14:paraId="19AFB81A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4FDB8E2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4AA95D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F43F802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0D8E2B7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226135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9C03F9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F54D8B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50B32F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1482783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5368D06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8CCCEE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42A8F2C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Retea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B1</w:t>
            </w:r>
          </w:p>
          <w:p w14:paraId="6FC34C3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250EEB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5E3D18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FEB08F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6C366B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2B763CB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820ACCC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891F0A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1C997F2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</w:p>
          <w:p w14:paraId="5DD70CF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E19F2F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489E7C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98CE00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C7A811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C8B92F1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7C0FB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345A1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SD11C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31824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ventil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drept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flanse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50-65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задвижка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диам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. 50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801F11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A312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BA6E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D8F3660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43AF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BFD91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0E7D717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911DB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DBA1D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SD11D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9D30F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ventil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drept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flanse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80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задвижка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диам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. 80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0B32CF3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3AED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6793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9B52566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3150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D74D4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F3C2C0F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333A5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0E84E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CB8A1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serviciu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simplu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indiferent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3/8" - 1/2"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Кран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шаровый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ф15 mm)</w:t>
            </w:r>
          </w:p>
          <w:p w14:paraId="7B73A61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8BE7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0A95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66,0000</w:t>
            </w:r>
          </w:p>
          <w:p w14:paraId="6D1D1F9B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E3B8E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9EC54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4EF256F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72F14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DE7C2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0F090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serviciu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simplu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indiferent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3/4" - 1"(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Кран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шаровый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ф 20 mm)</w:t>
            </w:r>
          </w:p>
          <w:p w14:paraId="6CA9C48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4CDB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2C7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2E1A7BF1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D0B4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EBE9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0CE5F22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7BDA5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4B663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5F24A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serviciu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simplu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indiferent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3/4" - 1"(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Кран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шаровый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ф 25 mm)</w:t>
            </w:r>
          </w:p>
          <w:p w14:paraId="68AD0AA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F6A2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9770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BF7F4E1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2448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73F26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7D003FE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247C6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49E21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SD07D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352B9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ventil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descarcare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1/4"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Кран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шаровый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ф 32 mm)</w:t>
            </w:r>
          </w:p>
          <w:p w14:paraId="78B94AE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BC65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45DC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53D9BD8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AE35D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AC4E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926A418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423604B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D5F810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3E4B06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74FF2E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26441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40ED45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7F5BB7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E65AE2E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A7205F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35B6EA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5B0F708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10192C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68777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6BCF43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999DAA4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D223562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DD7E41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E55335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59FA8A3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</w:p>
          <w:p w14:paraId="19153DC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EEE9BA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2D5682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008580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1622495" w14:textId="3D3CF433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70C69CC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466AE7E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240F2F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0B5A362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conexiunele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lor</w:t>
            </w:r>
          </w:p>
          <w:p w14:paraId="53499C2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9F93F5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9FEEAF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3896FE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A95FCB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0051523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4379D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733C9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A5C7F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polifuziune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20 mm  ( PP-R  PN 10  diam. 20 mm )</w:t>
            </w:r>
          </w:p>
          <w:p w14:paraId="3F3B29A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9203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5BB3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50,0000</w:t>
            </w:r>
          </w:p>
          <w:p w14:paraId="24BB1F25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B1D36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9977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0C2534A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08B62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1F414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D764A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polifuziune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25 mm  ( PP-R  PN 10  diam. 25 mm )</w:t>
            </w:r>
          </w:p>
          <w:p w14:paraId="40EFB24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6120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E42A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1D90C02A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28ACD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E2A87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38106F4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01F3F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9C392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SA17B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07449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polifuziune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32 mm  ( PP-R  PN 10  diam. 32 mm )</w:t>
            </w:r>
          </w:p>
          <w:p w14:paraId="3F09C97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3D0B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B1CE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42C09FB6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28007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E37D7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AFF8068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F47BE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349A1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SA17C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C7C1C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polifuziune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 mm  ( PP-R  PN 10  diam. 40 mm )</w:t>
            </w:r>
          </w:p>
          <w:p w14:paraId="2DE1F0C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DC08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FDF8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0C9EE16A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F1EF2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0E28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B40E52A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EDD91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D3F5D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RpIF09D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492B4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mansoane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introduse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la D=15x20 la D=54x20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Теплоизоляционные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трубки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AF-D-022  ф20мм)</w:t>
            </w:r>
          </w:p>
          <w:p w14:paraId="1F5CB48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7185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D349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50,0000</w:t>
            </w:r>
          </w:p>
          <w:p w14:paraId="1C9687A7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3BEFF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D4299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5E4612B9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A4403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07485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RpIF09D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2D36E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mansoane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introduse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la D=15x20 la D=54x20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Теплоизоляционные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трубки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AF-D-022  ф25мм)</w:t>
            </w:r>
          </w:p>
          <w:p w14:paraId="6B35F6E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D005D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3B58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10287376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F735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0980E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163B459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49218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89F46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RpIF09D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308BC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mansoane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introduse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la D=15x20 la D=54x20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Теплоизоляционные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трубки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AF-D-022  ф32мм)</w:t>
            </w:r>
          </w:p>
          <w:p w14:paraId="0212F90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753A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0578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73A9BEAF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4254C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34AA6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C2CDFB9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0A7F5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4119D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RpIF09D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61D1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mansoane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introduse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la D=15x20 la D=54x20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Теплоизоляционные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трубки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AF-D-022  ф40мм)</w:t>
            </w:r>
          </w:p>
          <w:p w14:paraId="7289681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B310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5420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1703920A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F9C98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2E4B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2654641E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8FB29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34AC3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SA04F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7D0A3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57 mm</w:t>
            </w:r>
          </w:p>
          <w:p w14:paraId="0AABE71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D2A2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7215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40,0000</w:t>
            </w:r>
          </w:p>
          <w:p w14:paraId="6426D428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1C17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C9246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D66917D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91A0D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394E6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SA04I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3F1A7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89 mm</w:t>
            </w:r>
          </w:p>
          <w:p w14:paraId="1D5A730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C9C5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61DD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40,0000</w:t>
            </w:r>
          </w:p>
          <w:p w14:paraId="5CB41E24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E4361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B988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4AD9584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E82F39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843C6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SA37F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CC0E5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Bratara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alimentare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gaze,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PVC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incastrare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2"</w:t>
            </w:r>
          </w:p>
          <w:p w14:paraId="2D810A5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6ED8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2E47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40,0000</w:t>
            </w:r>
          </w:p>
          <w:p w14:paraId="6B830783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9B0D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9EA47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4CB6E0A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4D95C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72525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SF02C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8C4FA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policlorura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vinil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material plastic,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16 - 110 mm</w:t>
            </w:r>
          </w:p>
          <w:p w14:paraId="450957B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666A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D4C2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17,0000</w:t>
            </w:r>
          </w:p>
          <w:p w14:paraId="276FE13E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AEC68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4CE4E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2201E2DB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49381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9CEFB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639FD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zincate,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longitudinal,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3/8"-2"</w:t>
            </w:r>
          </w:p>
          <w:p w14:paraId="0C6B91B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1645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3D93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B20EADF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8448C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38DC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4892C038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68B8C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6C173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85A54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zincate,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longitudinal,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1/2"-4"</w:t>
            </w:r>
          </w:p>
          <w:p w14:paraId="346E249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F0AD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01E0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F1D6576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EA3A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A72C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52734373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E5027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BFB60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SF05C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7668A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Spalarea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20-75 mm</w:t>
            </w:r>
          </w:p>
          <w:p w14:paraId="71F5C61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CB02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F902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170,0000</w:t>
            </w:r>
          </w:p>
          <w:p w14:paraId="69091D79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52518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F913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C0925AE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EF636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52AFA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E9A60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Spalarea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3/8"-2"</w:t>
            </w:r>
          </w:p>
          <w:p w14:paraId="124541C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8136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C45A9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06D91A92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9CE0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E406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E8FBFB6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F7468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95302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SF05B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21C6A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Spalarea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1/2"-4"</w:t>
            </w:r>
          </w:p>
          <w:p w14:paraId="5A98DA2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7287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7826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4EB31704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C093D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ADDE7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AB5CC01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3BBA65F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8E654B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74D2C8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6B2F41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A49F7A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2AECCC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6F406C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C6D55E7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B5FFA8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C1C22A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E695CCC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B19BD9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A847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E08E82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9083F32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667BA79D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198558C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BAADC2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4CC7731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conexiunele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lor</w:t>
            </w:r>
          </w:p>
          <w:p w14:paraId="4305876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627D31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0D9989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6C0533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73D51E5" w14:textId="6671279C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3AA7378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0DA21AE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B4ADC6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1F69DEF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1.1.3.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2D15A1F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1F3F0F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66F812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EBA9E1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84ED76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8584116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1C8F6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5F680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SA31B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E5A0D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flanse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ziduri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80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гибкая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фланцевая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вставка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д. 80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57917E7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E4C1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AD20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448E436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E524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2F6F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62484CE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7CC5B20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74C540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6401FC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50F041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1C72B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A69D5A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9358B0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7B0F0F33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207C22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EB1358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F605024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CEF60D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2602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70EDE4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37D5ABF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ABB3A61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BC7121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F0E9C4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E8F37E7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77604B3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431926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CCB7B1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53D5E1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B774C6A" w14:textId="1E0978C5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D325D45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1BBB53B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C882B7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EF92C3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822BAC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76390D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1B7BB2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093B27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6D43173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030E8F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F662EB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E1AD3F0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6414D2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A403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FBD5BE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010FD5A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40A307E0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579D4C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DE3D0F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7D59B27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Retea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B1</w:t>
            </w:r>
          </w:p>
          <w:p w14:paraId="08AE232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B88406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51C6F9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EF1AD1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6B38931" w14:textId="6C6AE306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FA7D82C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971E581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17E6A7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9C83B70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Retea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T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>3. T4</w:t>
            </w:r>
          </w:p>
          <w:p w14:paraId="719D257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4B2D75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BFB01C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780612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31CB71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F085697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751CF762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34B5DE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D5EC8D4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</w:p>
          <w:p w14:paraId="284B395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8E4A88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721698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7D9516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713D61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BE797D3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EEC7F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ABBF5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95C54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serviciu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simplu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indiferent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3/8" - 1/2"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Кран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шаровый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ф15 mm)</w:t>
            </w:r>
          </w:p>
          <w:p w14:paraId="4FA7D07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4554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8FAB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38,0000</w:t>
            </w:r>
          </w:p>
          <w:p w14:paraId="5F36D149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6EE09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4F494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23CA34FB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B84D1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38570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2F819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serviciu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simplu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indiferent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3/4" - 1"(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Кран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шаровый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ф 20 mm)</w:t>
            </w:r>
          </w:p>
          <w:p w14:paraId="3184ABD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0A83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1919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7A3BC26B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7FFE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D5031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D814AA8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5F381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8431F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3B18A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serviciu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simplu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indiferent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3/4" - 1"(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Кран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шаровый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ф 25 mm)</w:t>
            </w:r>
          </w:p>
          <w:p w14:paraId="3F2EB43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4FEA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9D729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3C7003DB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E4D7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776B1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00214BD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19C74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FBE9F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SD07D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0B7F2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ventil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descarcare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1/4"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Кран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шаровый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ф 32 mm)</w:t>
            </w:r>
          </w:p>
          <w:p w14:paraId="46DDA53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7205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FA34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6E670107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1DAE6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0B3E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6ECE6A65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3AE2412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4EA01E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057F67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9976DF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61F5F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626EEB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EA082F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649F8B6D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FD484F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6FE2E0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038C033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C322F7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53678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6B89A7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2F60C0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089341AF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7B4C12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C63700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DCD9B7B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</w:p>
          <w:p w14:paraId="73D2767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C181A6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3B9096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CA997B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B18FC48" w14:textId="5B9445A1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FB17221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44B7CDE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F01FD2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A59BD52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conexiunele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lor</w:t>
            </w:r>
          </w:p>
          <w:p w14:paraId="5FC0F22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8172D5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C344F8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DDAF85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475A11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0CC3149B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742B1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6CA2F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72DF7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polifuziune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20 mm  ( PP-R  PN 10  diam. 20 mm )</w:t>
            </w:r>
          </w:p>
          <w:p w14:paraId="019B1BC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43F0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1AA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40,0000</w:t>
            </w:r>
          </w:p>
          <w:p w14:paraId="56753F53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A7A3E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3CED9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67D186CC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FA338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6DAB8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18C2E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polifuziune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25 mm  ( PP-R  PN 10  diam. 25 mm )</w:t>
            </w:r>
          </w:p>
          <w:p w14:paraId="0C7B713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22C4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9AAF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06FF7881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957C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D5F6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518A1AC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2D298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F360D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SA17B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95D13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polifuziune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32 mm  ( PP-R  PN 10  diam. 32 mm )</w:t>
            </w:r>
          </w:p>
          <w:p w14:paraId="24A47F4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3139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46BE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65,0000</w:t>
            </w:r>
          </w:p>
          <w:p w14:paraId="0EACCFD8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EB561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D9DB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699D3780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FEF75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1068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SA17C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9563F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polifuziune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 mm  ( PP-R  PN 10  diam. 40 mm )</w:t>
            </w:r>
          </w:p>
          <w:p w14:paraId="6CEEA17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4AEA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C98C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699DE3E8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2B65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4FC3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B21277B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67220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7D41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RpIF09D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BFE5C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mansoane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introduse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la D=15x20 la D=54x20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Теплоизоляционные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трубки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AF-D-022  ф20мм)</w:t>
            </w:r>
          </w:p>
          <w:p w14:paraId="7AB9B76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EF70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7184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40,0000</w:t>
            </w:r>
          </w:p>
          <w:p w14:paraId="4F0AAAF0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A0DF2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9A59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41FA522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F46CE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3B8BC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RpIF09D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2C8B6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mansoane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introduse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la D=15x20 la D=54x20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Теплоизоляционные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трубки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AF-D-022  ф25мм)</w:t>
            </w:r>
          </w:p>
          <w:p w14:paraId="376AB26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9F8ED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F4CB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6C8F50FC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B0F8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92DD1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27AEB997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0EED1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A0F7A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RpIF09D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094DC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mansoane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introduse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la D=15x20 la D=54x20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Теплоизоляционные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трубки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AF-D-022  ф32мм)</w:t>
            </w:r>
          </w:p>
          <w:p w14:paraId="17FB981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6478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1EC9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65,0000</w:t>
            </w:r>
          </w:p>
          <w:p w14:paraId="550E36B2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0940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35A5E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208B0688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12AFF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690D1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RpIF09D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E9158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mansoane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introduse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la D=15x20 la D=54x20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Теплоизоляционные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трубки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AF-D-022  ф40мм)</w:t>
            </w:r>
          </w:p>
          <w:p w14:paraId="6DBABAA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68E4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D00E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62785FDA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0C35F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F2BA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525A45D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8646D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902EC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SF02C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1D687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policlorura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vinil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material plastic,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16 - 110 mm</w:t>
            </w:r>
          </w:p>
          <w:p w14:paraId="741FB4C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66DC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DB24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19,5000</w:t>
            </w:r>
          </w:p>
          <w:p w14:paraId="31FCF894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38439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C7C3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56D87763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1F7D1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EDE8F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SF05C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CC973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Spalarea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20-75 mm</w:t>
            </w:r>
          </w:p>
          <w:p w14:paraId="1A490EC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8C58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DBE3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195,0000</w:t>
            </w:r>
          </w:p>
          <w:p w14:paraId="4586B0B9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A3BE2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10C0F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6061A4E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4968E5E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849DAE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4601BB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614647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75E33E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3F9A0C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A9A8C5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6E0E5C5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32BE73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651403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619F3D3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CABAEB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A336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C73454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49AEF73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3D2DC79C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CDB8BF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D961F1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3334EFB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conexiunele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lor</w:t>
            </w:r>
          </w:p>
          <w:p w14:paraId="4269D1A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09D68D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1CB99C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AD8595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2FDC9A6" w14:textId="6240136B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2F0923A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04F9180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78DAF9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195463D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1.2.3.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56B44F9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E5E9EB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EFA9FC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FD066F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90AEB4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CA550C5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26A4F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A4A4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3016B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Baterie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amestecatoare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brat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basculant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stativa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lavoar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spalator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indiferent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handicapati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1/2"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Смеситель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умывальника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</w:p>
          <w:p w14:paraId="1F1A378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1A8E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8DAB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17,0000</w:t>
            </w:r>
          </w:p>
          <w:p w14:paraId="16FA840E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3F0B9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D2AF2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5177CFC9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185AA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7E48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B39D1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Baterie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amestecatoare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brat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basculant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stativa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lavoar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spalator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indiferent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handicapati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1/2"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Смеситель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мойки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</w:p>
          <w:p w14:paraId="5FD5E07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1116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5133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14E7E9E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965C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85669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5D13676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6B437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7DFDB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SD02A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3B43E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Baterie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amestecatoare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flexibil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indiferent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handicapati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caramida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b.c.a.</w:t>
            </w:r>
            <w:proofErr w:type="spellEnd"/>
          </w:p>
          <w:p w14:paraId="03C686A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80C6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1C369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786258E6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6E932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1204E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8E43CC8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76233CC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0E0B96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836578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7C9849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F0F39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EBECEE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914AAA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60BD21F2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6FCBC9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8DCCBE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986E982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7B8E77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54FE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A27DC5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1C4AA11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6ABC5DF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2CC1D9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B986AD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148C342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7F77712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43CA52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598CE2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22A0AE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FDC6F6F" w14:textId="4F35D938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57E2EE9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16D2DFF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2E6EC6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0083E4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74A043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D912E7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5B1503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E5E5F6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1F8D057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4DA614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8D3E42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3E548F8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E2D3BE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5F85F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3A2993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115876B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3AF9ABF8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15D637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6BE752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3A07CD2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Retea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T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>3. T4</w:t>
            </w:r>
          </w:p>
          <w:p w14:paraId="2EE14FD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4BFE25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05BD0A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D61038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C426A6E" w14:textId="5FDB2204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58729CF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74710CE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C5C5BC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E3A53FD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1.3.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Retea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K1</w:t>
            </w:r>
          </w:p>
          <w:p w14:paraId="3EB4D13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9CA658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4A590E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EB4FC3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03C54A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6CA7409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D5BC011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3E43A8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5A6D5B0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1.3.1.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conexiunele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lor</w:t>
            </w:r>
          </w:p>
          <w:p w14:paraId="1C60B00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44EF15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38C56F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9F01CF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B93F92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06741FA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D2448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BBEEC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SB08E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808F9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canalizare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garnitura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cauciuc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sub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pardoseala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110 mm  PVH</w:t>
            </w:r>
          </w:p>
          <w:p w14:paraId="537D1CD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9189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1053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100,0000</w:t>
            </w:r>
          </w:p>
          <w:p w14:paraId="79F1D6D6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08FB9" w14:textId="77777777" w:rsidR="001F4EBE" w:rsidRPr="00B40365" w:rsidRDefault="001F4EBE" w:rsidP="00EA2966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B109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6675897B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5AC93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73CEC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SB08C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8E4B4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canalizare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garnitura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cauciuc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sub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pardoseala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 mm  PVH</w:t>
            </w:r>
          </w:p>
          <w:p w14:paraId="710AA55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6775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D120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50,0000</w:t>
            </w:r>
          </w:p>
          <w:p w14:paraId="2538A28E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97A26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A22C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FDAD0D1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28155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691E8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81DB6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etanseitate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canalizare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tuburi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scurgere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policlorura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vinil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neplastifiata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 xml:space="preserve">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usor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ductila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pina la 100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</w:p>
          <w:p w14:paraId="43F8C44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FC179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10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E105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5,0000</w:t>
            </w:r>
          </w:p>
          <w:p w14:paraId="5FC54A65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3316F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84E9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4E507C60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89A7F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E4204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77AA2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etanseitate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canalizare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tuburi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scurgere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policlorura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vinil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neplastifiata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usor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ductila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100 mm</w:t>
            </w:r>
          </w:p>
          <w:p w14:paraId="476850E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45C4D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5BA2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10,0000</w:t>
            </w:r>
          </w:p>
          <w:p w14:paraId="5943759C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8909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677D8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16E461A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00C03FB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A5975A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5041CA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9CD124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44250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04D96E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BA3AE9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79DB9795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E842C7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FAA7C9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A7B7378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D0993A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2CF2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680EDD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8FB4039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700A82CE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85316E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6A28BC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4D97F34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conexiunele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lor</w:t>
            </w:r>
          </w:p>
          <w:p w14:paraId="66F1B7E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2299DE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19B26C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82B1F7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9B2EBBD" w14:textId="74B4EA23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B24E49E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E490E2C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3B1993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F4F5D52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1.3.2.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62BBEF2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ED369C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F8D449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98C49A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5F1DFD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A038186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634D0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DDD68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SC07B1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3A18B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Vas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closet,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complet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echipat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semiportelan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portelan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sanitar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etc.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handicapati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asezat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pardoseala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rezervorul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vas,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semiinaltime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sifonul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interior tip P.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Унитаз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керамический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косым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выпуском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бачком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</w:p>
          <w:p w14:paraId="4909254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77E6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8904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22,0000</w:t>
            </w:r>
          </w:p>
          <w:p w14:paraId="21F2E3DC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D6E8F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7610F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9362DF7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8CBBF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299E4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SC04A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6800A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Lavoar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semiportelan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portelan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sanitar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etc.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handicapati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scurgere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console fixate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caramida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b.c.a.</w:t>
            </w:r>
            <w:proofErr w:type="spellEnd"/>
          </w:p>
          <w:p w14:paraId="038AF30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9FC8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9AE99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17,0000</w:t>
            </w:r>
          </w:p>
          <w:p w14:paraId="312BD81C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491FC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380F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597D717B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8E07B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BC18B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SC09A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CA9EC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Pisoar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din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portelan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sanitar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caramida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b.c.a.</w:t>
            </w:r>
            <w:proofErr w:type="spellEnd"/>
          </w:p>
          <w:p w14:paraId="2E9F6D9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C362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6A9D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4EDEB356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4DBAD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2DDA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4DF3F01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776F8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E3A7A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SC02A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62925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emailata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emailata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polimetacril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etc.</w:t>
            </w:r>
          </w:p>
          <w:p w14:paraId="7D354D9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F82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53AB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14BB77AC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88AA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E96E2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7E99FCF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81009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FE0F0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SB24A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559B6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Sifon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dus</w:t>
            </w:r>
            <w:proofErr w:type="spellEnd"/>
          </w:p>
          <w:p w14:paraId="382F852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390B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49AA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2CCC982F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647E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2364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6FA4220B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A4837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46012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SB24A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66556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Sifon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pardoseala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emailata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simplu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 mm</w:t>
            </w:r>
          </w:p>
          <w:p w14:paraId="049A631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7605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6AE7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5AEBC34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6444E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CCCA8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1519AFF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06BAF81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DCD043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D288F9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819A89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6571A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DC735B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E63AF8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9341C42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22B3F10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C32121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7EE3023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7B998B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5655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3ACF2B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533A455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0E0CB12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F2CDF7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7861A7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EB15A0F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24D8D8C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E01105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9DD202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327D26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3142EA" w14:textId="5B873620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630DE51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0ADB56F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BA525D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9AA761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B810BE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B3461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8947C4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3718CB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78652BB2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BCD90F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83FD8E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4720417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513DA3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682F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FFAE63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30C42A3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7170F27F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C4A4C9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96A141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59206F4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Retea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K1</w:t>
            </w:r>
          </w:p>
          <w:p w14:paraId="2E21B2D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DD74AD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75EADF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644956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9A67205" w14:textId="6D345BBD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222A1C3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513D352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49EBAE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874AF52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1.4.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Retea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K3</w:t>
            </w:r>
          </w:p>
          <w:p w14:paraId="3F76A53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5AE2E2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62DD7A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7B6E5B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E97018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654ACFB8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75A48A48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459E13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7210A83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1.4.1.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conexiunele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lor</w:t>
            </w:r>
          </w:p>
          <w:p w14:paraId="599D2B2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D8CDEF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052903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A7413D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22A8C0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4065816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0FA45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0063B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SB08E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BC580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canalizare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garnitura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cauciuc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sub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pardoseala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110 mm  PVH</w:t>
            </w:r>
          </w:p>
          <w:p w14:paraId="32F4959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BB6B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E7EA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5,0000</w:t>
            </w:r>
          </w:p>
          <w:p w14:paraId="3E8D883D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FFBF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B9CAD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BA0F062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6E298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BB1E1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SB08C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3C10E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canalizare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garnitura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cauciuc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sub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pardoseala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 mm  PVH</w:t>
            </w:r>
          </w:p>
          <w:p w14:paraId="4EB2186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E9A2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CC49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15,0000</w:t>
            </w:r>
          </w:p>
          <w:p w14:paraId="2D1F1A25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0F34F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C0B7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341025B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32A7C2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943F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F566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etanseitate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canalizare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tuburi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scurgere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policlorura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vinil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neplastifiata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usor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ductila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pina la 100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</w:p>
          <w:p w14:paraId="29D432F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39FD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8F0B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1,5000</w:t>
            </w:r>
          </w:p>
          <w:p w14:paraId="4C06CFD4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98FBC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0CB39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55331617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041CD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2943B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D8382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etanseitate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canalizare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tuburi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scurgere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policlorura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vinil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neplastifiata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usor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material plastic,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ductila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100 mm</w:t>
            </w:r>
          </w:p>
          <w:p w14:paraId="6CFAF79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9C5E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B266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0,5000</w:t>
            </w:r>
          </w:p>
          <w:p w14:paraId="596C5F3B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9F788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B226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98AF5D4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23E3604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4F22BA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982BDE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7BB2A6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562D6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F1776B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23154B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9919A73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3056C3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215DF5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C25C028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F49972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9484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195B43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10A775A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47B366C2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1DF170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6842F6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81C6367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conexiunele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lor</w:t>
            </w:r>
          </w:p>
          <w:p w14:paraId="241E5B7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BA766B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01BE10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893C67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C6AC926" w14:textId="0CB05401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71944F6E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87A03E8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BF4B68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60BD57A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1.4.2.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4F09812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AABF10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14BA20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D935DE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9872B4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F194A2D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B82CD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D13F0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SB24A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2C43E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Sifon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spalator</w:t>
            </w:r>
            <w:proofErr w:type="spellEnd"/>
          </w:p>
          <w:p w14:paraId="14FF414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8614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9309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75091EF6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45D7C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DDD2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18F0BDE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3F7E9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8ED7A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SB24A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B541D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Sifon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pardoseala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emailata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simplu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 mm</w:t>
            </w:r>
          </w:p>
          <w:p w14:paraId="2F069A8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202A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CBEE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605400D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D7BF6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FFCBA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5E00AE8D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57C7022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8A9FC4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C407B3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0C4197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11C97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B6AAEE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6C4912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B5BB8D8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B3531F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2CA82E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E0DD920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44F735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08E52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B4D43B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C32FE89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12B81E6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8CEFF9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830753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60D705C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3C9C47C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27B36C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BF21A3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1E444E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CA64180" w14:textId="63936508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53A6923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6D23297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8F9F2E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7E83E6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3AE5E4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632BA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E8F3E9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860661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679C1D8A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CE02E3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F58FCC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3E5EBC7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69325C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1E3B0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0CC858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812E305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235DB221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6B26387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450CDF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AFAB1D6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Retea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K3</w:t>
            </w:r>
          </w:p>
          <w:p w14:paraId="1E85133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23E1E5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41E936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40A697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BBD2C69" w14:textId="2897C65D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37594B2E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5C876AB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216AAD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AA45C8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E7DCAB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AD74A2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0450C1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3EEB31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212AD87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7A5E4A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24286D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D3B6608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AC613C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F18F1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D0B180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7C4C050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5E1F794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198069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0425E1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D20AD3C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9A2D3E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9122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F29261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99CF7FA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899B8AE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8E3C6B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54B9ED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11A8790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1CF5BC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00D18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973525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E8DFFC3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33C57F3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C4EA0B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F78341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174401C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3CC4A8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3635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D172C9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E92726A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174DCAC4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D06E07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BDE113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1485376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EB6AAD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4ACD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427401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E74F0FB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285513F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E68852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AC96C6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C519F71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25E5F9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6A7E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DE5418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AFC0CD6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D9BC9C2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F8AC01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8F91DC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7F773AA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B1D38F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14,5 %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1E5CE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6DDE9B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CDF4D0C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0494C97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C97EFD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BD804B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9388CCF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97EB5D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3E93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FE73F4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AF1FB79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B025A70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70C0B9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4260F7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32C90D0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FBC5F2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9AD15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65E4B6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8CC2709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3F62D2C7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6454502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194D83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6379837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6DD72E7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31ED68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118317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82F506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6DB8AA5" w14:textId="61A1AB2F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36A4385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D3CF947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734029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15446FA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7933C2C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1C443F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16FC4A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7D717E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1BDA4D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EBEC7A1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EAD169D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14961F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73F63BF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Кран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пожарный</w:t>
            </w:r>
            <w:proofErr w:type="spellEnd"/>
          </w:p>
          <w:p w14:paraId="65E2604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893EE4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E2961B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496018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9C6127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05F91D83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FD3D1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D476B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97FDB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Hidrant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interior,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2",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nise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</w:p>
          <w:p w14:paraId="75BABFE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229B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61424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7D9F5C53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FE469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7D87D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C7D9F9D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EDE5D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7F667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479DA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Sorb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valva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filetata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головка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соединительная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цапковая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ГЦ-50 )</w:t>
            </w:r>
          </w:p>
          <w:p w14:paraId="1B536F0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FB6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8013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1AD3E151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95A73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E37C1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13FE0F6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60FBDD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B1F1C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53623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Sorb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valva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filetata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головка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соединительная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рукавная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ГР-50 )</w:t>
            </w:r>
          </w:p>
          <w:p w14:paraId="5E8AA2B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07988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31B57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428CB6A4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CF86F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B72CD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5E4A8CE2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A629F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3BDAC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02F07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Sorb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valva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filetata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головка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муфтовая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ГМ-50 )</w:t>
            </w:r>
          </w:p>
          <w:p w14:paraId="0108D43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2366B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E8B0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1E195169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38E32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47CF4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703E4486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0B97AF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70FC1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450A2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Sorb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valva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filetata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ствол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пожарный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РС-50 )</w:t>
            </w:r>
          </w:p>
          <w:p w14:paraId="6386118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AFDC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6625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2FB722B5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FCAFE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8A351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1DDAF902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D7AA5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D8C9D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83CCD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Stingator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ОП-5</w:t>
            </w:r>
          </w:p>
          <w:p w14:paraId="61414F2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74EDC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91BC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2FDB4A35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9278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3C935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4EEBDC6A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8F73DA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C5FE4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784AB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(vane,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robinete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alimentare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canalizare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 mm</w:t>
            </w:r>
          </w:p>
          <w:p w14:paraId="7F0981F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BC5A9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AB1A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262DEB33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E3A46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6A81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03708310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4973A8B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51C8F5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3B4813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ECD9E8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14682F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91A4DB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1242A1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4215523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E60BF3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093DED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3D7E938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D1AD564" w14:textId="01162FA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96B8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21F840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301B8F5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675BE2D0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4DCBFA2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5488D3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B5EA27D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Кран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пожарный</w:t>
            </w:r>
            <w:proofErr w:type="spellEnd"/>
          </w:p>
          <w:p w14:paraId="288C8CF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309E89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E2C5CB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6EDC85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D27B51D" w14:textId="12311C45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3EFE12E3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4B19382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18B196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05ABFA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477B38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2F02B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987AA3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49A500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EB57B88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427543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3D6ECA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7422D6B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0D53EC8" w14:textId="4B2ED011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D6617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E66C24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AF2C67C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7BA0623C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350ED3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2AA3F6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84E86F7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79CA5F2" w14:textId="5DF0F112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97043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F88860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BB220C7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7E40A168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2E5800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96D332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D4F67BB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A4B5C9A" w14:textId="7F5D1D1F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C80E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E59C23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B768E5F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6A51B940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07D1D4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AD7ED8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8BF2BC1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8FE664E" w14:textId="32332972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773F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D19667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274EA6A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62DEA52C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C3CB6C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03D953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5912D8C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D8D4F44" w14:textId="6FC9C591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6C3D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733C44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29ED859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353C9F25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27376D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2A287C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0405C59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023A7DD" w14:textId="2AAD2CA2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EB817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FD32E5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6BFC02E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6BFA963B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1B220C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9A0B0C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4A9F87E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7AEB07A" w14:textId="50961E7D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B4DC5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C769D6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2A8ACD1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0A1B823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7623A2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E5D2F5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7EE52FB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CF2455E" w14:textId="2A1C80DF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5C0D5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779063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E759A00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4FFDF3EE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721CAC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66D8A7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364C9A0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C97B7EC" w14:textId="2288AE39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77A67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038D80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7E4CF9F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CA5B3E" w14:paraId="1B264B96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C83E44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AD84F94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771C2EB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124FAFA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611697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506BF2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EDF663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2128288" w14:textId="709097EC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67E443A6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72E8B78" w14:textId="77777777" w:rsidR="001F4EBE" w:rsidRPr="00B40365" w:rsidRDefault="001F4EBE" w:rsidP="004C66E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FA93A2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A280563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4C639B6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44DA29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1639BC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55CE79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82E00E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3797774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0432F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2EFCA" w14:textId="77777777" w:rsidR="001F4EBE" w:rsidRPr="00262B1B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5E09C" w14:textId="77777777" w:rsidR="001F4EBE" w:rsidRPr="00B40365" w:rsidRDefault="001F4EBE" w:rsidP="004C66EB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Задвижка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пожарная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диам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. 50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</w:p>
          <w:p w14:paraId="5796C4C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79C65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7BEF0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6534B468" w14:textId="77777777" w:rsidR="001F4EBE" w:rsidRPr="00A25B72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6FFF0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C313B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F4EBE" w:rsidRPr="00B40365" w14:paraId="3EBBEC07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75E880D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3A4BBC8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11C4E0A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8EBC11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75B2EF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025F95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BDAAA1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716A73E1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A5AA0E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1DADDD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47E2002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59EB375" w14:textId="7621230E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77B5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B23079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147FAB9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03DAB52" w14:textId="77777777" w:rsidTr="004C66E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BEC758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9648597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065E6BF" w14:textId="77777777" w:rsidR="001F4EBE" w:rsidRPr="000E0709" w:rsidRDefault="001F4EBE" w:rsidP="004C66EB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051EEA6" w14:textId="704AC6B2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D382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1A06DA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F300506" w14:textId="77777777" w:rsidR="001F4EBE" w:rsidRPr="008160D3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5BAEA869" w14:textId="77777777" w:rsidTr="004C66E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8E2313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8880A2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5FAC3CD" w14:textId="77777777" w:rsidR="001F4EBE" w:rsidRPr="00E95320" w:rsidRDefault="001F4EBE" w:rsidP="004C66E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7036617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1452150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41BDE3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C29C4D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9137CFC" w14:textId="77777777" w:rsidR="001F4EBE" w:rsidRPr="00B40365" w:rsidRDefault="001F4EBE" w:rsidP="004C66EB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022FFAF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567FAE5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B4F420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2AA4CFE6" w14:textId="77777777" w:rsidR="001F4EBE" w:rsidRPr="00B40365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FC87DC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198EF3BF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1C29AAC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58A27BC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0EF96DAB" w14:textId="77777777" w:rsidTr="004C66E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9B7B2B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750F88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85AC389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0C219A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572120D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42B2F01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7B6E84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</w:tr>
      <w:tr w:rsidR="001F4EBE" w:rsidRPr="00B40365" w14:paraId="22E64EA6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015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DB76E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02D9B8" w14:textId="77777777" w:rsidR="001F4EBE" w:rsidRPr="000E0709" w:rsidRDefault="001F4EBE" w:rsidP="004C66EB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672AC2" w14:textId="7FB5892E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00FD3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6CBBFB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12CE8A8" w14:textId="77777777" w:rsidR="001F4EBE" w:rsidRPr="00B40365" w:rsidRDefault="001F4EBE" w:rsidP="004C66EB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1F4EBE" w:rsidRPr="00B40365" w14:paraId="33D53A51" w14:textId="77777777" w:rsidTr="004C66E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F312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0DF4B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330D7F" w14:textId="77777777" w:rsidR="001F4EBE" w:rsidRPr="000E0709" w:rsidRDefault="001F4EBE" w:rsidP="004C66EB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Taxa  de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valoare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adaugata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99A564" w14:textId="725CA6EA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AC885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79B4BF6" w14:textId="77777777" w:rsidR="001F4EBE" w:rsidRPr="00B40365" w:rsidRDefault="001F4EBE" w:rsidP="004C66E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7AB5B2A" w14:textId="77777777" w:rsidR="001F4EBE" w:rsidRPr="00B40365" w:rsidRDefault="001F4EBE" w:rsidP="004C66EB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1F4EBE" w:rsidRPr="00B40365" w14:paraId="20B4D294" w14:textId="77777777" w:rsidTr="004C66EB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8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162B0A06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0C2C3E6E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1863C8EC" w14:textId="77777777" w:rsidR="001F4EBE" w:rsidRPr="00585DBD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471FB9BC" w14:textId="77777777" w:rsidR="001F4EBE" w:rsidRPr="00585DBD" w:rsidRDefault="001F4EBE" w:rsidP="004C66E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85DBD">
              <w:rPr>
                <w:b/>
                <w:bCs/>
                <w:sz w:val="22"/>
                <w:szCs w:val="22"/>
                <w:lang w:val="en-US"/>
              </w:rPr>
              <w:t>T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 xml:space="preserve">otal </w:t>
            </w:r>
            <w:proofErr w:type="spellStart"/>
            <w:r w:rsidRPr="000E0709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Pr="00585DBD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27253D63" w14:textId="77777777" w:rsidR="001F4EBE" w:rsidRPr="00585DBD" w:rsidRDefault="001F4EBE" w:rsidP="004C66EB">
            <w:pPr>
              <w:rPr>
                <w:sz w:val="22"/>
                <w:szCs w:val="22"/>
                <w:lang w:val="en-US"/>
              </w:rPr>
            </w:pPr>
            <w:proofErr w:type="spellStart"/>
            <w:r w:rsidRPr="00585DBD">
              <w:rPr>
                <w:b/>
                <w:bCs/>
                <w:sz w:val="22"/>
                <w:szCs w:val="22"/>
                <w:lang w:val="en-US"/>
              </w:rPr>
              <w:t>Incl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>u</w:t>
            </w:r>
            <w:r w:rsidRPr="00585DBD">
              <w:rPr>
                <w:b/>
                <w:bCs/>
                <w:sz w:val="22"/>
                <w:szCs w:val="22"/>
                <w:lang w:val="en-US"/>
              </w:rPr>
              <w:t>siv</w:t>
            </w:r>
            <w:proofErr w:type="spellEnd"/>
            <w:r w:rsidRPr="00585DB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5DB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AB0BB81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9163B13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4E5215D" w14:textId="77777777" w:rsidR="001F4EBE" w:rsidRPr="00B40365" w:rsidRDefault="001F4EBE" w:rsidP="004C66E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73DA81DC" w14:textId="77777777" w:rsidR="001F4EBE" w:rsidRPr="00B40365" w:rsidRDefault="001F4EBE" w:rsidP="004C66EB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53FF42C5" w14:textId="77777777" w:rsidR="001F4EBE" w:rsidRPr="00B40365" w:rsidRDefault="001F4EBE" w:rsidP="001F4EBE">
      <w:pPr>
        <w:rPr>
          <w:sz w:val="22"/>
          <w:szCs w:val="22"/>
          <w:lang w:val="en-US"/>
        </w:rPr>
      </w:pPr>
    </w:p>
    <w:p w14:paraId="02B15297" w14:textId="77777777" w:rsidR="001F4EBE" w:rsidRPr="00B40365" w:rsidRDefault="001F4EBE" w:rsidP="001F4EBE">
      <w:pPr>
        <w:jc w:val="center"/>
        <w:rPr>
          <w:sz w:val="28"/>
          <w:szCs w:val="28"/>
          <w:lang w:val="en-US"/>
        </w:rPr>
      </w:pPr>
    </w:p>
    <w:p w14:paraId="7F7A367F" w14:textId="77777777" w:rsidR="001F4EBE" w:rsidRPr="000E0709" w:rsidRDefault="001F4EBE" w:rsidP="001F4EBE">
      <w:pPr>
        <w:jc w:val="center"/>
        <w:rPr>
          <w:sz w:val="28"/>
          <w:szCs w:val="28"/>
          <w:lang w:val="en-US"/>
        </w:rPr>
      </w:pPr>
    </w:p>
    <w:p w14:paraId="0E899D0D" w14:textId="77777777" w:rsidR="001F4EBE" w:rsidRPr="000E0709" w:rsidRDefault="001F4EBE" w:rsidP="001F4EBE">
      <w:pPr>
        <w:jc w:val="center"/>
        <w:rPr>
          <w:sz w:val="28"/>
          <w:szCs w:val="28"/>
          <w:lang w:val="en-US"/>
        </w:rPr>
      </w:pPr>
    </w:p>
    <w:sectPr w:rsidR="001F4EBE" w:rsidRPr="000E0709">
      <w:pgSz w:w="11907" w:h="16840" w:code="9"/>
      <w:pgMar w:top="851" w:right="454" w:bottom="851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BE"/>
    <w:rsid w:val="00130370"/>
    <w:rsid w:val="001F4EBE"/>
    <w:rsid w:val="0025666E"/>
    <w:rsid w:val="0070692A"/>
    <w:rsid w:val="00CA5B3E"/>
    <w:rsid w:val="00EA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DEA98"/>
  <w15:chartTrackingRefBased/>
  <w15:docId w15:val="{F02097E8-ED8F-4570-AF32-2EE04210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EB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1F4EBE"/>
  </w:style>
  <w:style w:type="paragraph" w:styleId="BodyText">
    <w:name w:val="Body Text"/>
    <w:basedOn w:val="Normal"/>
    <w:link w:val="BodyTextChar"/>
    <w:uiPriority w:val="99"/>
    <w:rsid w:val="001F4EBE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F4E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1F4EBE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1F4EBE"/>
    <w:rPr>
      <w:rFonts w:ascii="Times New Roman" w:eastAsia="Times New Roman" w:hAnsi="Times New Roman" w:cs="Times New Roman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1F4EBE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F4EBE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2151</Words>
  <Characters>12264</Characters>
  <Application>Microsoft Office Word</Application>
  <DocSecurity>0</DocSecurity>
  <Lines>102</Lines>
  <Paragraphs>28</Paragraphs>
  <ScaleCrop>false</ScaleCrop>
  <Company/>
  <LinksUpToDate>false</LinksUpToDate>
  <CharactersWithSpaces>14387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Nadejda Zinovieva</dc:creator>
  <cp:keywords/>
  <dc:description/>
  <cp:lastModifiedBy>L Livadari</cp:lastModifiedBy>
  <cp:revision>3</cp:revision>
  <dcterms:created xsi:type="dcterms:W3CDTF">2022-06-09T06:43:00Z</dcterms:created>
  <dcterms:modified xsi:type="dcterms:W3CDTF">2022-06-09T06:44:00Z</dcterms:modified>
</cp:coreProperties>
</file>